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 в машинное обучение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>м</w:t>
      </w:r>
      <w:r>
        <w:rPr>
          <w:b/>
          <w:bCs/>
        </w:rPr>
        <w:t>агистратура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02.04.01  Математика и компьютерные науки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Математика и компьютерные науки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color w:val="000000"/>
        </w:rPr>
        <w:t>«Математика и компьютерные науки</w:t>
      </w:r>
      <w:r>
        <w:rPr/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магистратуры)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220" cy="5850255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720" cy="584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7"/>
                              <w:gridCol w:w="2133"/>
                              <w:gridCol w:w="1587"/>
                              <w:gridCol w:w="2"/>
                              <w:gridCol w:w="1533"/>
                              <w:gridCol w:w="3"/>
                              <w:gridCol w:w="2854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2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Регрессия как постановка задачи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Метод главных компонент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Вероятностное понижение размерности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Решающие деревья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Градиентный спуск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6. Персептрон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7. Вероятностные методы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8. Метрические методы классификации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9. Случайный лес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10. Метод опорных векторов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11. Восстановление смеси плотностей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12. Нейронные сети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2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pt;height:460.55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7"/>
                        <w:gridCol w:w="2133"/>
                        <w:gridCol w:w="1587"/>
                        <w:gridCol w:w="2"/>
                        <w:gridCol w:w="1533"/>
                        <w:gridCol w:w="3"/>
                        <w:gridCol w:w="2854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2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8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Регрессия как постановка задачи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Метод главных компонент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Вероятностное понижение размерности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Решающие деревья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Градиентный спуск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6. Персептрон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7. Вероятностные методы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8. Метрические методы классификации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9. Случайный лес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10. Метод опорных векторов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11. Восстановление смеси плотностей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12. Нейронные сети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2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>1. В чем разница между методом опорных векторов и главных компонент?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>2. В чем разница между методом к-средних и к-ближайших соседей.</w:t>
      </w:r>
    </w:p>
    <w:p>
      <w:pPr>
        <w:pStyle w:val="Normal"/>
        <w:spacing w:before="0" w:after="120"/>
        <w:ind w:left="284" w:hanging="0"/>
        <w:rPr/>
      </w:pPr>
      <w:r>
        <w:rPr/>
        <w:t>3. Логистическая регрессия является ли регрессией?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 классификации растровых изображений с цифрами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>
          <w:rStyle w:val="Notranslate"/>
          <w:color w:val="000000"/>
        </w:rPr>
      </w:pPr>
      <w:r>
        <w:rPr>
          <w:rStyle w:val="Notranslate"/>
          <w:color w:val="000000"/>
        </w:rPr>
        <w:t>2. Написать программу построения палитры для изображения. Использовать метод к-средних.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>
          <w:lang w:val="en-US"/>
        </w:rPr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9pt;margin-top:0.05pt;width:6.05pt;height:13.8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15pt;height:1.1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2pt;margin-top:0.05pt;width:6.05pt;height:13.8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2pt;margin-top:0.05pt;width:6.05pt;height:13.8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LibreOffice/5.1.6.2$Linux_X86_64 LibreOffice_project/10m0$Build-2</Application>
  <Pages>7</Pages>
  <Words>844</Words>
  <Characters>5650</Characters>
  <CharactersWithSpaces>6413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2020-01-09T22:35:25Z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