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 в машинное обучение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/>
      </w:pPr>
      <w:r>
        <w:rPr>
          <w:b/>
          <w:bCs/>
        </w:rPr>
        <w:t>специалитет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 xml:space="preserve">01.05.01  Фундаментальные математика и механика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Фундаментальная математика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iCs/>
          <w:color w:val="000000"/>
        </w:rPr>
        <w:t>«</w:t>
      </w:r>
      <w:r>
        <w:rPr>
          <w:bCs/>
          <w:iCs/>
          <w:color w:val="000000"/>
        </w:rPr>
        <w:t>Фундаментальные  математика и механика</w:t>
      </w:r>
      <w:r>
        <w:rPr>
          <w:iCs/>
          <w:color w:val="000000"/>
        </w:rPr>
        <w:t xml:space="preserve">» (программы специалитета)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 xml:space="preserve"> Объем дисциплины  составляет </w:t>
      </w:r>
    </w:p>
    <w:p>
      <w:pPr>
        <w:pStyle w:val="Normal"/>
        <w:rPr/>
      </w:pPr>
      <w:bookmarkStart w:id="1" w:name="__DdeLink__1717_87253013"/>
      <w:r>
        <w:rPr>
          <w:b/>
          <w:bCs/>
        </w:rPr>
        <w:t>а) осенний вариант: 4</w:t>
      </w:r>
      <w:r>
        <w:rPr/>
        <w:t xml:space="preserve"> з.е., в том числе  </w:t>
      </w:r>
      <w:r>
        <w:rPr>
          <w:b/>
          <w:bCs/>
        </w:rPr>
        <w:t>36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б) весенний вариант: 3</w:t>
      </w:r>
      <w:r>
        <w:rPr/>
        <w:t xml:space="preserve"> з.е., в том числе  </w:t>
      </w:r>
      <w:r>
        <w:rPr>
          <w:b/>
          <w:bCs/>
        </w:rPr>
        <w:t>32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</w:t>
      </w:r>
      <w:r>
        <w:rPr>
          <w:b/>
        </w:rPr>
        <w:t xml:space="preserve">32 </w:t>
      </w:r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занятий. Звездочкой (*) отмечен добавочный материал для осеннего варианта. 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3220" cy="5850255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720" cy="584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93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88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4"/>
                              <w:gridCol w:w="998"/>
                              <w:gridCol w:w="7"/>
                              <w:gridCol w:w="2133"/>
                              <w:gridCol w:w="1587"/>
                              <w:gridCol w:w="2"/>
                              <w:gridCol w:w="1533"/>
                              <w:gridCol w:w="3"/>
                              <w:gridCol w:w="2854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2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58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1. Регрессия как постановка задачи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2. Метод главных компонент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3. Вероятностное понижение размерности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4. Решающие деревья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5. Градиентный спуск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6. Персептрон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7. Вероятностные методы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8. Метрические методы классификации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9. Случайный лес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10. Метод опорных векторов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*Тема 11. Восстановление смеси плотностей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*Тема 12. Нейронные сети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64/*68</w:t>
                                  </w:r>
                                </w:p>
                              </w:tc>
                              <w:tc>
                                <w:tcPr>
                                  <w:tcW w:w="5262" w:type="dxa"/>
                                  <w:gridSpan w:val="5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32/*36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8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5pt;height:460.55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93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88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4"/>
                        <w:gridCol w:w="998"/>
                        <w:gridCol w:w="7"/>
                        <w:gridCol w:w="2133"/>
                        <w:gridCol w:w="1587"/>
                        <w:gridCol w:w="2"/>
                        <w:gridCol w:w="1533"/>
                        <w:gridCol w:w="3"/>
                        <w:gridCol w:w="2854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2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58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88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1. Регрессия как постановка задачи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2. Метод главных компонент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3. Вероятностное понижение размерности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4. Решающие деревья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5. Градиентный спуск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6. Персептрон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7. Вероятностные методы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8. Метрические методы классификации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9. Случайный лес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10. Метод опорных векторов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*Тема 11. Восстановление смеси плотностей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*Тема 12. Нейронные сети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5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64/*68</w:t>
                            </w:r>
                          </w:p>
                        </w:tc>
                        <w:tc>
                          <w:tcPr>
                            <w:tcW w:w="5262" w:type="dxa"/>
                            <w:gridSpan w:val="5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32/*36</w:t>
                            </w:r>
                          </w:p>
                        </w:tc>
                        <w:tc>
                          <w:tcPr>
                            <w:tcW w:w="2857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8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32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hanging="0"/>
        <w:rPr/>
      </w:pPr>
      <w:r>
        <w:rPr/>
        <w:t>1. В чем разница между методом опорных векторов и главных компонент?</w:t>
      </w:r>
    </w:p>
    <w:p>
      <w:pPr>
        <w:pStyle w:val="NormalWeb"/>
        <w:spacing w:before="0" w:after="120"/>
        <w:ind w:left="284" w:hanging="0"/>
        <w:jc w:val="both"/>
        <w:rPr/>
      </w:pPr>
      <w:r>
        <w:rPr>
          <w:rStyle w:val="Notranslate"/>
          <w:color w:val="000000"/>
        </w:rPr>
        <w:t>2. В чем разница между методом к-средних и к-ближайших соседей.</w:t>
      </w:r>
    </w:p>
    <w:p>
      <w:pPr>
        <w:pStyle w:val="Normal"/>
        <w:spacing w:before="0" w:after="120"/>
        <w:ind w:left="284" w:hanging="0"/>
        <w:rPr/>
      </w:pPr>
      <w:r>
        <w:rPr/>
        <w:t>3. Логистическая регрессия является ли регрессией?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hanging="0"/>
        <w:rPr/>
      </w:pPr>
      <w:r>
        <w:rPr>
          <w:color w:val="000000"/>
          <w:highlight w:val="white"/>
        </w:rPr>
        <w:t>1. Написать программу классификации растровых изображений с цифрами</w:t>
      </w:r>
      <w:r>
        <w:rPr>
          <w:rStyle w:val="Notranslate"/>
          <w:color w:val="000000"/>
        </w:rPr>
        <w:t>.</w:t>
      </w:r>
    </w:p>
    <w:p>
      <w:pPr>
        <w:pStyle w:val="Normal"/>
        <w:spacing w:before="0" w:after="120"/>
        <w:ind w:left="284" w:hanging="0"/>
        <w:rPr>
          <w:rStyle w:val="Notranslate"/>
          <w:color w:val="000000"/>
        </w:rPr>
      </w:pPr>
      <w:r>
        <w:rPr>
          <w:rStyle w:val="Notranslate"/>
          <w:color w:val="000000"/>
        </w:rPr>
        <w:t>2. Написать программу построения палитры для изображения. Использовать метод к-средних.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ind w:left="1440" w:hanging="0"/>
        <w:rPr>
          <w:lang w:val="en-US"/>
        </w:rPr>
      </w:pPr>
      <w:r>
        <w:rPr>
          <w:lang w:val="en-US"/>
        </w:rPr>
        <w:t>Pattern Recognition and Machine Learning, Bishop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16"/>
        <w:spacing w:lineRule="auto" w:line="240" w:before="0" w:after="80"/>
        <w:ind w:left="144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Воронцов К. В. Курс лекций //Машинное обучение. – 2011.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Питон и сопутствующие модули.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машинное зрение.рф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105" cy="176530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60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9pt;margin-top:0.05pt;width:6.05pt;height:13.8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512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15pt;height:1.1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105" cy="176530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60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2pt;margin-top:0.05pt;width:6.05pt;height:13.8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8105" cy="176530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60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2pt;margin-top:0.05pt;width:6.05pt;height:13.8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ascii="Times New Roman" w:hAnsi="Times New Roman"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Application>LibreOffice/5.1.6.2$Linux_X86_64 LibreOffice_project/10m0$Build-2</Application>
  <Pages>7</Pages>
  <Words>842</Words>
  <Characters>5658</Characters>
  <CharactersWithSpaces>6421</CharactersWithSpaces>
  <Paragraphs>209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2019-02-18T10:59:00Z</cp:lastPrinted>
  <dcterms:modified xsi:type="dcterms:W3CDTF">2020-01-09T21:48:09Z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