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Математические основы цифровой обработки изображений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>м</w:t>
      </w:r>
      <w:r>
        <w:rPr>
          <w:b/>
          <w:bCs/>
        </w:rPr>
        <w:t>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color w:val="000000"/>
        </w:rPr>
        <w:t>«Математика и компьютерные науки</w:t>
      </w:r>
      <w:r>
        <w:rPr/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4490" cy="5851525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800" cy="58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9"/>
                              <w:gridCol w:w="6"/>
                              <w:gridCol w:w="2133"/>
                              <w:gridCol w:w="1587"/>
                              <w:gridCol w:w="3"/>
                              <w:gridCol w:w="1533"/>
                              <w:gridCol w:w="2"/>
                              <w:gridCol w:w="1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Физика света и психика цвета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Формирование  растрового изображения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Пиксельные преобразования изображения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Глобальные линейные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Оконные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Нелинейные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Морфологические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Поиск ребер, отрезков, линий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Поиск по образцу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Методы сегментации изображения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Особые окрестности, точки.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pt;height:460.65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9"/>
                        <w:gridCol w:w="6"/>
                        <w:gridCol w:w="2133"/>
                        <w:gridCol w:w="1587"/>
                        <w:gridCol w:w="3"/>
                        <w:gridCol w:w="1533"/>
                        <w:gridCol w:w="2"/>
                        <w:gridCol w:w="1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Физика света и психика цвета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Формирование  растрового изображения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Пиксельные преобразования изображения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Глобальные линейные преобразования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Оконные преобразования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Линейные фильтры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Нелинейные фильтры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Морфологические преобразования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Поиск ребер, отрезков, линий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Поиск по образцу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Методы сегментации изображения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Особые окрестности, точки.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 xml:space="preserve">1. </w:t>
      </w:r>
      <w:r>
        <w:rPr>
          <w:sz w:val="24"/>
          <w:szCs w:val="24"/>
        </w:rPr>
        <w:t>Откуда берется трех-компонентное представление цветов?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 xml:space="preserve">2. </w:t>
      </w:r>
      <w:r>
        <w:rPr>
          <w:rStyle w:val="Notranslate"/>
          <w:color w:val="000000"/>
          <w:sz w:val="24"/>
          <w:szCs w:val="24"/>
        </w:rPr>
        <w:t>Каким образом формируется цифровое растровое изображение?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  <w:sz w:val="24"/>
          <w:szCs w:val="24"/>
        </w:rPr>
        <w:t>3. Что есть глобальное преобразование изображения?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 xml:space="preserve">1. </w:t>
      </w:r>
      <w:r>
        <w:rPr>
          <w:color w:val="000000"/>
          <w:sz w:val="24"/>
          <w:szCs w:val="24"/>
          <w:highlight w:val="white"/>
        </w:rPr>
        <w:t>Все ли цвета в таком представлении достижимы?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 xml:space="preserve">2. </w:t>
      </w:r>
      <w:r>
        <w:rPr>
          <w:rStyle w:val="Notranslate"/>
          <w:color w:val="000000"/>
          <w:sz w:val="24"/>
          <w:szCs w:val="24"/>
          <w:highlight w:val="white"/>
        </w:rPr>
        <w:t>В чем суть теоремы Котельникова?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sz w:val="24"/>
          <w:szCs w:val="24"/>
          <w:highlight w:val="white"/>
        </w:rPr>
        <w:t>3. Какие классы преобразований на растровыми изображениями существуют?</w:t>
      </w:r>
    </w:p>
    <w:p>
      <w:pPr>
        <w:pStyle w:val="ListParagraph"/>
        <w:spacing w:before="0" w:after="120"/>
        <w:ind w:left="284" w:right="0" w:hanging="0"/>
        <w:rPr/>
      </w:pPr>
      <w:r>
        <w:rPr>
          <w:rStyle w:val="Notranslate"/>
          <w:rFonts w:ascii="Times New Roman" w:hAnsi="Times New Roman"/>
          <w:color w:val="000000"/>
          <w:sz w:val="24"/>
          <w:szCs w:val="24"/>
          <w:highlight w:val="white"/>
        </w:rPr>
        <w:t>4. Что есть оконное преобразование?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5pt;height:1.2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LibreOffice/5.1.6.2$Linux_X86_64 LibreOffice_project/10m0$Build-2</Application>
  <Pages>7</Pages>
  <Words>854</Words>
  <Characters>5770</Characters>
  <CharactersWithSpaces>6540</CharactersWithSpaces>
  <Paragraphs>212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2020-01-09T22:35:04Z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