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Приближение зависимостей по прецедентам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>м</w:t>
      </w:r>
      <w:r>
        <w:rPr>
          <w:b/>
          <w:bCs/>
        </w:rPr>
        <w:t>агистратура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02.04.01  Математика и компьютерные науки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Математика и компьютерные науки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color w:val="000000"/>
        </w:rPr>
        <w:t>«Математика и компьютерные науки</w:t>
      </w:r>
      <w:r>
        <w:rPr/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855" cy="585089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80" cy="585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6"/>
                              <w:gridCol w:w="2134"/>
                              <w:gridCol w:w="1587"/>
                              <w:gridCol w:w="3"/>
                              <w:gridCol w:w="1533"/>
                              <w:gridCol w:w="2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Аппроксимация и интерполяция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Классификация. Геометрический подход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Персептрон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Линейные модели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Ядровый подход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6. Нейронные многослойные сети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7. Метод опорных векторов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8. Многомерная регрессия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9. Теорема Колмогорова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10. Деревья решений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11. Локальная и глобальная аппроксимация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12. Кригинг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5pt;height:460.6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6"/>
                        <w:gridCol w:w="2134"/>
                        <w:gridCol w:w="1587"/>
                        <w:gridCol w:w="3"/>
                        <w:gridCol w:w="1533"/>
                        <w:gridCol w:w="2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Аппроксимация и интерполяция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Классификация. Геометрический подход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Персептрон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Линейные модели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Ядровый подход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6. Нейронные многослойные сети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7. Метод опорных векторов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8. Многомерная регрессия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9. Теорема Колмогорова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10. Деревья решений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11. Локальная и глобальная аппроксимация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12. Кригинг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3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 xml:space="preserve">1. </w:t>
      </w:r>
      <w:r>
        <w:rPr>
          <w:rFonts w:eastAsia="Times New Roman"/>
          <w:lang w:eastAsia="ru-RU"/>
        </w:rPr>
        <w:t>В чем разница между аппроксимацией и интерполяцией?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 xml:space="preserve">2. </w:t>
      </w:r>
      <w:r>
        <w:rPr>
          <w:rStyle w:val="Notranslate"/>
          <w:rFonts w:eastAsia="Times New Roman"/>
          <w:color w:val="000000"/>
          <w:lang w:eastAsia="ru-RU"/>
        </w:rPr>
        <w:t>В чем разница между регрессией и классификацией?</w:t>
      </w:r>
    </w:p>
    <w:p>
      <w:pPr>
        <w:pStyle w:val="Normal"/>
        <w:spacing w:before="0" w:after="120"/>
        <w:ind w:left="284" w:hanging="0"/>
        <w:rPr/>
      </w:pPr>
      <w:r>
        <w:rPr/>
        <w:t xml:space="preserve">3. </w:t>
      </w:r>
      <w:r>
        <w:rPr>
          <w:rFonts w:eastAsia="Times New Roman"/>
          <w:lang w:eastAsia="ru-RU"/>
        </w:rPr>
        <w:t>В чем суть тестовой выборки</w:t>
      </w:r>
      <w:r>
        <w:rPr/>
        <w:t>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программу/класс реализующую/ий метод ближайшего соседа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2. Показать, что метод к-средних сходится.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3. Показать как ядровой подход применим встраиватся в алгоритм опорных векторов.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>
          <w:lang w:val="en-US"/>
        </w:rPr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pt;height:1.2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LibreOffice/5.1.6.2$Linux_X86_64 LibreOffice_project/10m0$Build-2</Application>
  <Pages>7</Pages>
  <Words>843</Words>
  <Characters>5638</Characters>
  <CharactersWithSpaces>6399</CharactersWithSpaces>
  <Paragraphs>210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2020-01-09T20:31:35Z</cp:lastPrinted>
  <dcterms:modified xsi:type="dcterms:W3CDTF">2020-01-09T22:34:27Z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